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97" w:rsidRPr="00E00E4D" w:rsidRDefault="007A1797" w:rsidP="00425EFC">
      <w:pPr>
        <w:jc w:val="both"/>
        <w:rPr>
          <w:b/>
          <w:sz w:val="18"/>
          <w:szCs w:val="18"/>
          <w:lang w:val="fr-FR"/>
        </w:rPr>
      </w:pPr>
      <w:proofErr w:type="spellStart"/>
      <w:proofErr w:type="gramStart"/>
      <w:r w:rsidRPr="00E00E4D">
        <w:rPr>
          <w:b/>
          <w:bCs/>
          <w:sz w:val="24"/>
          <w:szCs w:val="24"/>
          <w:lang w:val="fr-FR"/>
        </w:rPr>
        <w:t>escription</w:t>
      </w:r>
      <w:proofErr w:type="spellEnd"/>
      <w:proofErr w:type="gramEnd"/>
    </w:p>
    <w:p w:rsidR="00425EFC" w:rsidRPr="00E00E4D" w:rsidRDefault="00425EFC" w:rsidP="00425EFC">
      <w:pPr>
        <w:jc w:val="both"/>
        <w:rPr>
          <w:sz w:val="18"/>
          <w:szCs w:val="18"/>
          <w:lang w:val="fr-FR"/>
        </w:rPr>
      </w:pPr>
    </w:p>
    <w:p w:rsidR="00425EFC" w:rsidRPr="00E00E4D" w:rsidRDefault="00425EFC" w:rsidP="00425EFC">
      <w:pPr>
        <w:jc w:val="both"/>
        <w:rPr>
          <w:i/>
          <w:sz w:val="18"/>
          <w:szCs w:val="18"/>
          <w:lang w:val="fr-FR"/>
        </w:rPr>
      </w:pPr>
      <w:r w:rsidRPr="00E00E4D">
        <w:rPr>
          <w:i/>
          <w:iCs/>
          <w:sz w:val="18"/>
          <w:szCs w:val="18"/>
          <w:lang w:val="fr-FR"/>
        </w:rPr>
        <w:t>Référence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62408 : PFR P2 Demi-masque filtrant / jaune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Avec filtre à poche et sangle de fixation en polyuréthane </w:t>
      </w:r>
    </w:p>
    <w:p w:rsidR="00425EFC" w:rsidRPr="00E00E4D" w:rsidRDefault="00703D0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Masque respiratoire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i/>
          <w:iCs/>
          <w:color w:val="000000"/>
          <w:sz w:val="18"/>
          <w:szCs w:val="18"/>
          <w:lang w:val="fr-FR"/>
        </w:rPr>
        <w:t>Dimensions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Largeur : 26 cm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Profondeur : 9,8 cm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Longueur des sangles de fixation : 23 cm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i/>
          <w:iCs/>
          <w:color w:val="000000"/>
          <w:sz w:val="18"/>
          <w:szCs w:val="18"/>
          <w:lang w:val="fr-FR"/>
        </w:rPr>
        <w:t>Propriétés</w:t>
      </w: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 xml:space="preserve">À utiliser pendant une seule session / 8 heures au maximum. </w:t>
      </w: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>Ce masque doit être utilisé pour se protéger uniquement des aérosols liquides et solides</w:t>
      </w:r>
      <w:r w:rsidR="00703D0C" w:rsidRPr="00337167">
        <w:rPr>
          <w:sz w:val="18"/>
          <w:szCs w:val="18"/>
          <w:lang w:val="fr-FR"/>
        </w:rPr>
        <w:t>.</w:t>
      </w:r>
      <w:r w:rsidRPr="00337167">
        <w:rPr>
          <w:sz w:val="18"/>
          <w:szCs w:val="18"/>
          <w:lang w:val="fr-FR"/>
        </w:rPr>
        <w:t xml:space="preserve"> </w:t>
      </w:r>
    </w:p>
    <w:p w:rsidR="007A1797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>Consulter les autres avertissements importants figurant dans le mode d’emploi</w:t>
      </w:r>
      <w:r w:rsidR="00703D0C" w:rsidRPr="00337167">
        <w:rPr>
          <w:sz w:val="18"/>
          <w:szCs w:val="18"/>
          <w:lang w:val="fr-FR"/>
        </w:rPr>
        <w:t>.</w:t>
      </w:r>
    </w:p>
    <w:p w:rsidR="00425EFC" w:rsidRPr="00337167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425EFC" w:rsidRPr="00337167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  <w:lang w:val="fr-FR"/>
        </w:rPr>
      </w:pPr>
      <w:r w:rsidRPr="00337167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Utilisation prévue</w:t>
      </w:r>
    </w:p>
    <w:p w:rsidR="00425EFC" w:rsidRPr="00337167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  <w:lang w:val="fr-FR"/>
        </w:rPr>
      </w:pP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 xml:space="preserve">À utiliser pendant une seule session / 8 heures au maximum. </w:t>
      </w: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>Ce masque doit être utilisé pour se protéger uniquement des aérosols liquides et solides</w:t>
      </w:r>
      <w:r w:rsidR="00703D0C" w:rsidRPr="00337167">
        <w:rPr>
          <w:sz w:val="18"/>
          <w:szCs w:val="18"/>
          <w:lang w:val="fr-FR"/>
        </w:rPr>
        <w:t>.</w:t>
      </w:r>
      <w:r w:rsidRPr="00337167">
        <w:rPr>
          <w:sz w:val="18"/>
          <w:szCs w:val="18"/>
          <w:lang w:val="fr-FR"/>
        </w:rPr>
        <w:t xml:space="preserve"> </w:t>
      </w: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>Consulter les autres avertissements importants figurant dans le mode d’emploi</w:t>
      </w:r>
      <w:r w:rsidR="00703D0C" w:rsidRPr="00337167">
        <w:rPr>
          <w:sz w:val="18"/>
          <w:szCs w:val="18"/>
          <w:lang w:val="fr-FR"/>
        </w:rPr>
        <w:t>.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  <w:lang w:val="fr-FR"/>
        </w:rPr>
      </w:pP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Matériaux principaux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703D0C" w:rsidRPr="00E00E4D" w:rsidRDefault="00703D0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N</w:t>
      </w:r>
      <w:r w:rsidR="00425EFC" w:rsidRPr="00E00E4D">
        <w:rPr>
          <w:rFonts w:ascii="Calibri" w:hAnsi="Calibri" w:cs="Calibri"/>
          <w:color w:val="000000"/>
          <w:sz w:val="18"/>
          <w:szCs w:val="18"/>
          <w:lang w:val="fr-FR"/>
        </w:rPr>
        <w:t>e contient pas</w:t>
      </w: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 de caoutchouc / latex naturel</w:t>
      </w:r>
    </w:p>
    <w:p w:rsidR="00425EFC" w:rsidRPr="00E00E4D" w:rsidRDefault="00703D0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Ne contient pas de DEHP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Couche externe : </w:t>
      </w:r>
      <w:proofErr w:type="spellStart"/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Spunbond</w:t>
      </w:r>
      <w:proofErr w:type="spellEnd"/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 (polypropylène), jaune / blanc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Couche intermédiaire (double) : base porte-filtre (polypropylène)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Intérieur : tissu à deux composants PET</w:t>
      </w:r>
      <w:r w:rsidR="00667C86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/</w:t>
      </w:r>
      <w:r w:rsidR="00667C86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polyester, blanc avec film antibuée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Barrette nasale : fil d’aluminium plat </w:t>
      </w:r>
    </w:p>
    <w:p w:rsidR="007A1797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Sangles de fixation : polyuréthane, bleu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Stérilisation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Ce produit n’est pas stérile. </w:t>
      </w:r>
    </w:p>
    <w:p w:rsidR="007A1797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Ce produit ne peut pas être stérilisé.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7A1797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Conditionnement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Emballage de transport contenant 300 unités.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50 unités sont placées dans une boîte distributrice et 6 boîtes distributrices sont placées dans un emballage de transport. </w:t>
      </w:r>
    </w:p>
    <w:p w:rsidR="007A1797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Codage par code à barres : GS1-128 sur l’emballage de transport et les boîtes distributrices.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509BF" w:rsidP="00425EFC">
      <w:pPr>
        <w:jc w:val="both"/>
        <w:rPr>
          <w:b/>
          <w:sz w:val="18"/>
          <w:szCs w:val="18"/>
          <w:lang w:val="fr-FR"/>
        </w:rPr>
      </w:pPr>
      <w:r>
        <w:rPr>
          <w:b/>
          <w:bCs/>
          <w:noProof/>
          <w:sz w:val="24"/>
          <w:szCs w:val="24"/>
          <w:lang w:val="sk-SK" w:eastAsia="sk-SK"/>
        </w:rPr>
        <w:t xml:space="preserve">                       </w:t>
      </w:r>
      <w:r w:rsidRPr="00E00E4D">
        <w:rPr>
          <w:b/>
          <w:bCs/>
          <w:noProof/>
          <w:sz w:val="24"/>
          <w:szCs w:val="24"/>
        </w:rPr>
        <w:drawing>
          <wp:inline distT="0" distB="0" distL="0" distR="0" wp14:anchorId="42017D89" wp14:editId="4E39CD28">
            <wp:extent cx="1898015" cy="153543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7A1797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Fabrication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Matériaux fabriqués aux États-Unis. </w:t>
      </w:r>
    </w:p>
    <w:p w:rsidR="007A1797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Article assemblé au Mexique.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7A1797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Informations réglementaires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Produit marqué CE en conformité avec la Directive 89/686/CEE relative aux équipements de protection individuelle. </w:t>
      </w:r>
    </w:p>
    <w:p w:rsidR="00425EFC" w:rsidRPr="00E00E4D" w:rsidRDefault="00425EFC" w:rsidP="00425EF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Classification : EPI de Catégorie III. </w:t>
      </w:r>
    </w:p>
    <w:p w:rsidR="007A1797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 xml:space="preserve">Produit conforme aux normes EN </w:t>
      </w:r>
      <w:proofErr w:type="gramStart"/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149:</w:t>
      </w:r>
      <w:proofErr w:type="gramEnd"/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2001+A1:2009 ; EN 143:2000 ; EN 132:1999 et ISO 6941:2003.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7A1797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Informations relatives au stockage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 xml:space="preserve">Entreposer dans un endroit sec et frais (entre -17 °C et 32 °C ; humidité relative &lt; 85 %), à l’écart des sources de lumière et de radiations. </w:t>
      </w:r>
    </w:p>
    <w:p w:rsidR="00425EFC" w:rsidRPr="00337167" w:rsidRDefault="00425EFC" w:rsidP="00337167">
      <w:pPr>
        <w:pStyle w:val="Sansinterligne"/>
        <w:rPr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 xml:space="preserve">Conserver les masques dans leur boîte distributrice, autant qu’il est pratiquement possible. </w:t>
      </w:r>
    </w:p>
    <w:p w:rsidR="007A1797" w:rsidRPr="00337167" w:rsidRDefault="00425EFC" w:rsidP="00337167">
      <w:pPr>
        <w:pStyle w:val="Sansinterligne"/>
        <w:rPr>
          <w:b/>
          <w:sz w:val="18"/>
          <w:szCs w:val="18"/>
          <w:lang w:val="fr-FR"/>
        </w:rPr>
      </w:pPr>
      <w:r w:rsidRPr="00337167">
        <w:rPr>
          <w:sz w:val="18"/>
          <w:szCs w:val="18"/>
          <w:lang w:val="fr-FR"/>
        </w:rPr>
        <w:t>Conserver les boîtes distributrices dans leur emballage de transport, autant qu’il est pratiquement possible.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7A1797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b/>
          <w:bCs/>
          <w:sz w:val="24"/>
          <w:szCs w:val="24"/>
          <w:lang w:val="fr-FR"/>
        </w:rPr>
        <w:t>Durée de conservation</w:t>
      </w: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</w:p>
    <w:p w:rsidR="00425EFC" w:rsidRPr="00E00E4D" w:rsidRDefault="00425EFC" w:rsidP="00425EFC">
      <w:pPr>
        <w:jc w:val="both"/>
        <w:rPr>
          <w:b/>
          <w:sz w:val="18"/>
          <w:szCs w:val="18"/>
          <w:lang w:val="fr-FR"/>
        </w:rPr>
      </w:pPr>
      <w:r w:rsidRPr="00E00E4D">
        <w:rPr>
          <w:rFonts w:ascii="Calibri" w:hAnsi="Calibri" w:cs="Calibri"/>
          <w:color w:val="000000"/>
          <w:sz w:val="18"/>
          <w:szCs w:val="18"/>
          <w:lang w:val="fr-FR"/>
        </w:rPr>
        <w:t>5 ans, à compter de la date de fabrication.</w:t>
      </w:r>
    </w:p>
    <w:sectPr w:rsidR="00425EFC" w:rsidRPr="00E00E4D" w:rsidSect="00A44A00">
      <w:headerReference w:type="default" r:id="rId11"/>
      <w:footerReference w:type="default" r:id="rId12"/>
      <w:type w:val="continuous"/>
      <w:pgSz w:w="11907" w:h="16839" w:code="9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7FE" w:rsidRDefault="003B67FE" w:rsidP="00A44A00">
      <w:r>
        <w:separator/>
      </w:r>
    </w:p>
  </w:endnote>
  <w:endnote w:type="continuationSeparator" w:id="0">
    <w:p w:rsidR="003B67FE" w:rsidRDefault="003B67FE" w:rsidP="00A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342"/>
    </w:tblGrid>
    <w:tr w:rsidR="00F9554F" w:rsidRPr="00A71520" w:rsidTr="005B7EC8">
      <w:tc>
        <w:tcPr>
          <w:tcW w:w="5341" w:type="dxa"/>
        </w:tcPr>
        <w:p w:rsidR="00F9554F" w:rsidRPr="00A71520" w:rsidRDefault="00F9554F" w:rsidP="00F9554F">
          <w:pPr>
            <w:tabs>
              <w:tab w:val="left" w:pos="7812"/>
            </w:tabs>
            <w:autoSpaceDE w:val="0"/>
            <w:autoSpaceDN w:val="0"/>
            <w:adjustRightInd w:val="0"/>
            <w:jc w:val="both"/>
            <w:rPr>
              <w:rFonts w:ascii="Calibri" w:eastAsia="Times New Roman" w:hAnsi="Calibri" w:cstheme="minorHAnsi"/>
              <w:i/>
              <w:color w:val="000000"/>
              <w:sz w:val="14"/>
              <w:szCs w:val="16"/>
              <w:lang w:val="fr-FR"/>
            </w:rPr>
          </w:pPr>
          <w:r w:rsidRPr="00A71520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>*Marque déposée ou marque commerciale d’Halyard Health Inc</w:t>
          </w:r>
          <w:r w:rsidRPr="00A71520">
            <w:rPr>
              <w:rFonts w:ascii="Calibri" w:eastAsia="Times New Roman" w:hAnsi="Calibri" w:cstheme="minorHAnsi"/>
              <w:color w:val="000000"/>
              <w:sz w:val="14"/>
              <w:szCs w:val="16"/>
              <w:lang w:val="fr-FR"/>
            </w:rPr>
            <w:t>.</w:t>
          </w:r>
        </w:p>
        <w:p w:rsidR="00F9554F" w:rsidRPr="00D55588" w:rsidRDefault="002B5D6D" w:rsidP="00F9554F">
          <w:pPr>
            <w:tabs>
              <w:tab w:val="left" w:pos="7812"/>
            </w:tabs>
            <w:autoSpaceDE w:val="0"/>
            <w:autoSpaceDN w:val="0"/>
            <w:adjustRightInd w:val="0"/>
            <w:jc w:val="both"/>
            <w:rPr>
              <w:rFonts w:ascii="Calibri" w:eastAsia="Times New Roman" w:hAnsi="Calibri" w:cstheme="minorHAnsi"/>
              <w:i/>
              <w:color w:val="000000"/>
              <w:sz w:val="14"/>
              <w:szCs w:val="16"/>
              <w:lang w:val="es-ES"/>
            </w:rPr>
          </w:pPr>
          <w:r w:rsidRPr="00A71520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>©201</w:t>
          </w:r>
          <w:r w:rsidR="00D55588" w:rsidRPr="00A71520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>6</w:t>
          </w:r>
          <w:r w:rsidRPr="00A71520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fr-FR"/>
            </w:rPr>
            <w:t xml:space="preserve"> Halyard Belgique BVBA.  </w:t>
          </w:r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 xml:space="preserve">Tous </w:t>
          </w:r>
          <w:proofErr w:type="spellStart"/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droits</w:t>
          </w:r>
          <w:proofErr w:type="spellEnd"/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réservés</w:t>
          </w:r>
          <w:proofErr w:type="spellEnd"/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 xml:space="preserve">.  </w:t>
          </w:r>
        </w:p>
        <w:p w:rsidR="00F9554F" w:rsidRPr="00D55588" w:rsidRDefault="00CF5648" w:rsidP="00F9554F">
          <w:pPr>
            <w:tabs>
              <w:tab w:val="left" w:pos="7812"/>
            </w:tabs>
            <w:autoSpaceDE w:val="0"/>
            <w:autoSpaceDN w:val="0"/>
            <w:adjustRightInd w:val="0"/>
            <w:jc w:val="both"/>
            <w:rPr>
              <w:rFonts w:ascii="Calibri" w:eastAsia="Times New Roman" w:hAnsi="Calibri" w:cstheme="minorHAnsi"/>
              <w:i/>
              <w:color w:val="000000"/>
              <w:sz w:val="14"/>
              <w:szCs w:val="16"/>
              <w:lang w:val="es-ES"/>
            </w:rPr>
          </w:pPr>
          <w:proofErr w:type="spellStart"/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Créé</w:t>
          </w:r>
          <w:proofErr w:type="spellEnd"/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 xml:space="preserve"> le </w:t>
          </w:r>
          <w:r w:rsid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17</w:t>
          </w:r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-</w:t>
          </w:r>
          <w:r w:rsid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oct</w:t>
          </w:r>
          <w:r w:rsidRP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-201</w:t>
          </w:r>
          <w:r w:rsid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 xml:space="preserve">6, </w:t>
          </w:r>
          <w:proofErr w:type="spellStart"/>
          <w:r w:rsid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>version</w:t>
          </w:r>
          <w:proofErr w:type="spellEnd"/>
          <w:r w:rsidR="00D55588">
            <w:rPr>
              <w:rFonts w:ascii="Calibri" w:eastAsia="Times New Roman" w:hAnsi="Calibri" w:cstheme="minorHAnsi"/>
              <w:i/>
              <w:iCs/>
              <w:color w:val="000000"/>
              <w:sz w:val="14"/>
              <w:szCs w:val="16"/>
              <w:lang w:val="es-ES"/>
            </w:rPr>
            <w:t xml:space="preserve"> 1</w:t>
          </w:r>
        </w:p>
        <w:p w:rsidR="00F9554F" w:rsidRPr="00A71520" w:rsidRDefault="00F9554F" w:rsidP="00F9554F">
          <w:pPr>
            <w:tabs>
              <w:tab w:val="left" w:pos="7812"/>
            </w:tabs>
            <w:autoSpaceDE w:val="0"/>
            <w:autoSpaceDN w:val="0"/>
            <w:adjustRightInd w:val="0"/>
            <w:jc w:val="both"/>
            <w:rPr>
              <w:rFonts w:ascii="Calibri" w:eastAsia="Times New Roman" w:hAnsi="Calibri" w:cstheme="minorHAnsi"/>
              <w:i/>
              <w:color w:val="000000"/>
              <w:sz w:val="16"/>
              <w:szCs w:val="16"/>
              <w:lang w:val="fr-FR"/>
            </w:rPr>
          </w:pPr>
          <w:r w:rsidRPr="00A71520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  <w:lang w:val="fr-FR"/>
            </w:rPr>
            <w:t xml:space="preserve">Page 1 sur </w:t>
          </w:r>
          <w:r w:rsidR="00310EF9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</w:rPr>
            <w:fldChar w:fldCharType="begin"/>
          </w:r>
          <w:r w:rsidRPr="00A71520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  <w:lang w:val="fr-FR"/>
            </w:rPr>
            <w:instrText xml:space="preserve"> PAGE   \* MERGEFORMAT </w:instrText>
          </w:r>
          <w:r w:rsidR="00310EF9">
            <w:rPr>
              <w:rFonts w:ascii="Calibri" w:eastAsia="Times New Roman" w:hAnsi="Calibri" w:cstheme="minorHAnsi"/>
              <w:b/>
              <w:bCs/>
              <w:i/>
              <w:iCs/>
              <w:color w:val="000000"/>
              <w:sz w:val="14"/>
              <w:szCs w:val="16"/>
            </w:rPr>
            <w:fldChar w:fldCharType="separate"/>
          </w:r>
          <w:r w:rsidR="00AF7848" w:rsidRPr="00A71520">
            <w:rPr>
              <w:rFonts w:ascii="Calibri" w:eastAsia="Times New Roman" w:hAnsi="Calibri" w:cstheme="minorHAnsi"/>
              <w:b/>
              <w:bCs/>
              <w:i/>
              <w:iCs/>
              <w:noProof/>
              <w:color w:val="000000"/>
              <w:sz w:val="14"/>
              <w:szCs w:val="16"/>
              <w:lang w:val="fr-FR"/>
            </w:rPr>
            <w:t>1</w:t>
          </w:r>
          <w:r w:rsidR="00310EF9">
            <w:rPr>
              <w:rFonts w:ascii="Calibri" w:eastAsia="Times New Roman" w:hAnsi="Calibri" w:cstheme="minorHAnsi"/>
              <w:noProof/>
              <w:color w:val="000000"/>
              <w:sz w:val="14"/>
              <w:szCs w:val="16"/>
            </w:rPr>
            <w:fldChar w:fldCharType="end"/>
          </w:r>
        </w:p>
      </w:tc>
      <w:tc>
        <w:tcPr>
          <w:tcW w:w="5342" w:type="dxa"/>
        </w:tcPr>
        <w:p w:rsidR="00F9554F" w:rsidRPr="00A71520" w:rsidRDefault="00F9554F" w:rsidP="00F9554F">
          <w:pPr>
            <w:autoSpaceDE w:val="0"/>
            <w:autoSpaceDN w:val="0"/>
            <w:adjustRightInd w:val="0"/>
            <w:jc w:val="both"/>
            <w:rPr>
              <w:rFonts w:eastAsia="Times New Roman" w:cstheme="minorHAnsi"/>
              <w:i/>
              <w:color w:val="000000"/>
              <w:sz w:val="16"/>
              <w:szCs w:val="16"/>
              <w:lang w:val="fr-FR"/>
            </w:rPr>
          </w:pPr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Les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dimensions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et les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propriétés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susmentionnées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peuvent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varier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dans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les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limites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de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spécifications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préétablies</w:t>
          </w:r>
          <w:proofErr w:type="spellEnd"/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>.</w:t>
          </w:r>
          <w:r w:rsidRPr="00D55588">
            <w:rPr>
              <w:rFonts w:cstheme="minorHAnsi"/>
              <w:color w:val="000000"/>
              <w:sz w:val="14"/>
              <w:szCs w:val="16"/>
              <w:lang w:val="es-ES"/>
            </w:rPr>
            <w:t xml:space="preserve"> </w:t>
          </w:r>
          <w:r w:rsidRPr="00D55588">
            <w:rPr>
              <w:rFonts w:cstheme="minorHAnsi"/>
              <w:i/>
              <w:iCs/>
              <w:color w:val="000000"/>
              <w:sz w:val="14"/>
              <w:szCs w:val="16"/>
              <w:lang w:val="es-ES"/>
            </w:rPr>
            <w:t xml:space="preserve"> </w:t>
          </w:r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 xml:space="preserve">Ce </w:t>
          </w:r>
          <w:proofErr w:type="spellStart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>document</w:t>
          </w:r>
          <w:proofErr w:type="spellEnd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 xml:space="preserve"> a </w:t>
          </w:r>
          <w:proofErr w:type="spellStart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>été</w:t>
          </w:r>
          <w:proofErr w:type="spellEnd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 xml:space="preserve"> </w:t>
          </w:r>
          <w:proofErr w:type="spellStart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>rédigé</w:t>
          </w:r>
          <w:proofErr w:type="spellEnd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 xml:space="preserve"> à partir des </w:t>
          </w:r>
          <w:proofErr w:type="spellStart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>informations</w:t>
          </w:r>
          <w:proofErr w:type="spellEnd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 xml:space="preserve"> les plus </w:t>
          </w:r>
          <w:proofErr w:type="spellStart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>récentes</w:t>
          </w:r>
          <w:proofErr w:type="spellEnd"/>
          <w:r w:rsidRPr="00D55588">
            <w:rPr>
              <w:rFonts w:cstheme="minorHAnsi"/>
              <w:i/>
              <w:iCs/>
              <w:sz w:val="14"/>
              <w:szCs w:val="16"/>
              <w:lang w:val="es-ES"/>
            </w:rPr>
            <w:t>.</w:t>
          </w:r>
          <w:r w:rsidRPr="00D55588">
            <w:rPr>
              <w:rFonts w:cstheme="minorHAnsi"/>
              <w:sz w:val="14"/>
              <w:szCs w:val="16"/>
              <w:lang w:val="es-ES"/>
            </w:rPr>
            <w:t xml:space="preserve">  </w:t>
          </w:r>
          <w:r w:rsidRPr="00A71520">
            <w:rPr>
              <w:rFonts w:cstheme="minorHAnsi"/>
              <w:i/>
              <w:iCs/>
              <w:sz w:val="14"/>
              <w:szCs w:val="16"/>
              <w:lang w:val="fr-FR"/>
            </w:rPr>
            <w:t>Dans l‘optique d’une amélioration constante, les caractéristiques du produit peuvent être modifiées sans notification préalable.</w:t>
          </w:r>
          <w:r w:rsidRPr="00A71520">
            <w:rPr>
              <w:rFonts w:cstheme="minorHAnsi"/>
              <w:b/>
              <w:bCs/>
              <w:i/>
              <w:iCs/>
              <w:sz w:val="14"/>
              <w:szCs w:val="16"/>
              <w:lang w:val="fr-FR"/>
            </w:rPr>
            <w:t xml:space="preserve"> </w:t>
          </w:r>
        </w:p>
      </w:tc>
    </w:tr>
  </w:tbl>
  <w:p w:rsidR="00A44A00" w:rsidRPr="00A71520" w:rsidRDefault="00A44A00" w:rsidP="00F9554F">
    <w:pPr>
      <w:pStyle w:val="Pieddepage"/>
      <w:rPr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7FE" w:rsidRDefault="003B67FE" w:rsidP="00A44A00">
      <w:r>
        <w:separator/>
      </w:r>
    </w:p>
  </w:footnote>
  <w:footnote w:type="continuationSeparator" w:id="0">
    <w:p w:rsidR="003B67FE" w:rsidRDefault="003B67FE" w:rsidP="00A4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342"/>
    </w:tblGrid>
    <w:tr w:rsidR="00AA58CB" w:rsidRPr="00D55588" w:rsidTr="007C46A5">
      <w:tc>
        <w:tcPr>
          <w:tcW w:w="5341" w:type="dxa"/>
        </w:tcPr>
        <w:p w:rsidR="00AA58CB" w:rsidRDefault="00AA58CB" w:rsidP="007C46A5">
          <w:r>
            <w:rPr>
              <w:noProof/>
            </w:rPr>
            <w:drawing>
              <wp:inline distT="0" distB="0" distL="0" distR="0">
                <wp:extent cx="2200910" cy="548640"/>
                <wp:effectExtent l="0" t="0" r="889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91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2" w:type="dxa"/>
          <w:vMerge w:val="restart"/>
        </w:tcPr>
        <w:p w:rsidR="00AA58CB" w:rsidRPr="00FD0B09" w:rsidRDefault="00AA58CB" w:rsidP="007C46A5">
          <w:pPr>
            <w:rPr>
              <w:b/>
              <w:sz w:val="12"/>
            </w:rPr>
          </w:pPr>
        </w:p>
        <w:p w:rsidR="004A1503" w:rsidRPr="00D55588" w:rsidRDefault="00425EFC" w:rsidP="00CF5648">
          <w:pPr>
            <w:rPr>
              <w:rFonts w:eastAsia="Times New Roman" w:cstheme="minorHAnsi"/>
              <w:b/>
              <w:sz w:val="48"/>
              <w:szCs w:val="24"/>
              <w:lang w:val="es-ES"/>
            </w:rPr>
          </w:pPr>
          <w:r w:rsidRPr="00D55588">
            <w:rPr>
              <w:rFonts w:eastAsia="Times New Roman" w:cstheme="minorHAnsi"/>
              <w:b/>
              <w:bCs/>
              <w:sz w:val="48"/>
              <w:szCs w:val="24"/>
              <w:lang w:val="es-ES"/>
            </w:rPr>
            <w:t xml:space="preserve">PFR P2 </w:t>
          </w:r>
        </w:p>
        <w:p w:rsidR="00CF5648" w:rsidRPr="00D55588" w:rsidRDefault="00425EFC" w:rsidP="00CF5648">
          <w:pPr>
            <w:rPr>
              <w:rFonts w:eastAsia="Times New Roman" w:cstheme="minorHAnsi"/>
              <w:sz w:val="48"/>
              <w:szCs w:val="24"/>
              <w:lang w:val="es-ES"/>
            </w:rPr>
          </w:pPr>
          <w:r w:rsidRPr="00D55588">
            <w:rPr>
              <w:rFonts w:eastAsia="Times New Roman" w:cstheme="minorHAnsi"/>
              <w:sz w:val="36"/>
              <w:szCs w:val="24"/>
              <w:lang w:val="es-ES"/>
            </w:rPr>
            <w:t xml:space="preserve">Demi-masque </w:t>
          </w:r>
          <w:proofErr w:type="spellStart"/>
          <w:r w:rsidRPr="00D55588">
            <w:rPr>
              <w:rFonts w:eastAsia="Times New Roman" w:cstheme="minorHAnsi"/>
              <w:sz w:val="36"/>
              <w:szCs w:val="24"/>
              <w:lang w:val="es-ES"/>
            </w:rPr>
            <w:t>filtrant</w:t>
          </w:r>
          <w:proofErr w:type="spellEnd"/>
        </w:p>
        <w:p w:rsidR="00AA58CB" w:rsidRPr="00D55588" w:rsidRDefault="00AA58CB" w:rsidP="004A1503">
          <w:pPr>
            <w:rPr>
              <w:rFonts w:eastAsia="Times New Roman" w:cstheme="minorHAnsi"/>
              <w:sz w:val="36"/>
              <w:szCs w:val="24"/>
              <w:lang w:val="es-ES"/>
            </w:rPr>
          </w:pPr>
        </w:p>
      </w:tc>
    </w:tr>
    <w:tr w:rsidR="00AA58CB" w:rsidTr="007C46A5">
      <w:trPr>
        <w:trHeight w:val="998"/>
      </w:trPr>
      <w:tc>
        <w:tcPr>
          <w:tcW w:w="5341" w:type="dxa"/>
          <w:vMerge w:val="restart"/>
        </w:tcPr>
        <w:p w:rsidR="00AA58CB" w:rsidRPr="00D55588" w:rsidRDefault="00AA58CB" w:rsidP="007C46A5">
          <w:pPr>
            <w:rPr>
              <w:rFonts w:eastAsia="Times New Roman" w:cstheme="minorHAnsi"/>
              <w:sz w:val="24"/>
              <w:szCs w:val="44"/>
              <w:lang w:val="es-ES"/>
            </w:rPr>
          </w:pPr>
        </w:p>
        <w:p w:rsidR="00AA58CB" w:rsidRDefault="00AA58CB" w:rsidP="007C46A5">
          <w:r>
            <w:rPr>
              <w:rFonts w:ascii="Calibri" w:eastAsia="Times New Roman" w:hAnsi="Calibri" w:cs="Calibri"/>
              <w:sz w:val="72"/>
              <w:szCs w:val="44"/>
            </w:rPr>
            <w:t>NOTICE</w:t>
          </w:r>
          <w:r>
            <w:rPr>
              <w:rFonts w:ascii="Calibri" w:eastAsia="Times New Roman" w:hAnsi="Calibri" w:cs="Calibri"/>
              <w:sz w:val="72"/>
              <w:szCs w:val="44"/>
            </w:rPr>
            <w:br/>
            <w:t>TECHNIQUE</w:t>
          </w:r>
        </w:p>
      </w:tc>
      <w:tc>
        <w:tcPr>
          <w:tcW w:w="5342" w:type="dxa"/>
          <w:vMerge/>
        </w:tcPr>
        <w:p w:rsidR="00AA58CB" w:rsidRDefault="00AA58CB" w:rsidP="007C46A5"/>
      </w:tc>
    </w:tr>
    <w:tr w:rsidR="00AA58CB" w:rsidTr="007C46A5">
      <w:trPr>
        <w:trHeight w:val="548"/>
      </w:trPr>
      <w:tc>
        <w:tcPr>
          <w:tcW w:w="5341" w:type="dxa"/>
          <w:vMerge/>
        </w:tcPr>
        <w:p w:rsidR="00AA58CB" w:rsidRPr="00A44A00" w:rsidRDefault="00AA58CB" w:rsidP="007C46A5">
          <w:pPr>
            <w:rPr>
              <w:rFonts w:eastAsia="Times New Roman" w:cstheme="minorHAnsi"/>
              <w:sz w:val="24"/>
              <w:szCs w:val="44"/>
            </w:rPr>
          </w:pPr>
        </w:p>
      </w:tc>
      <w:tc>
        <w:tcPr>
          <w:tcW w:w="5342" w:type="dxa"/>
          <w:tcMar>
            <w:left w:w="115" w:type="dxa"/>
            <w:right w:w="0" w:type="dxa"/>
          </w:tcMar>
        </w:tcPr>
        <w:p w:rsidR="007A1797" w:rsidRDefault="007A1797" w:rsidP="007C46A5">
          <w:pPr>
            <w:jc w:val="right"/>
          </w:pPr>
        </w:p>
        <w:p w:rsidR="00AA58CB" w:rsidRDefault="007A1797" w:rsidP="007C46A5">
          <w:pPr>
            <w:jc w:val="right"/>
          </w:pPr>
          <w:r>
            <w:rPr>
              <w:noProof/>
            </w:rPr>
            <w:drawing>
              <wp:inline distT="0" distB="0" distL="0" distR="0">
                <wp:extent cx="482600" cy="36252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16" cy="362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58CB" w:rsidRDefault="00AA58CB" w:rsidP="00AA58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5B5"/>
    <w:multiLevelType w:val="hybridMultilevel"/>
    <w:tmpl w:val="90548480"/>
    <w:lvl w:ilvl="0" w:tplc="54B87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004C"/>
    <w:multiLevelType w:val="hybridMultilevel"/>
    <w:tmpl w:val="3020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53CE"/>
    <w:multiLevelType w:val="hybridMultilevel"/>
    <w:tmpl w:val="4C04CE60"/>
    <w:lvl w:ilvl="0" w:tplc="F4AE7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2F89"/>
    <w:multiLevelType w:val="hybridMultilevel"/>
    <w:tmpl w:val="C3AAE18E"/>
    <w:lvl w:ilvl="0" w:tplc="C5D05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84BB4"/>
    <w:multiLevelType w:val="hybridMultilevel"/>
    <w:tmpl w:val="20223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00"/>
    <w:rsid w:val="00004213"/>
    <w:rsid w:val="00071E0E"/>
    <w:rsid w:val="000A2CBD"/>
    <w:rsid w:val="000A3628"/>
    <w:rsid w:val="000D3AFE"/>
    <w:rsid w:val="000D5776"/>
    <w:rsid w:val="00126B0F"/>
    <w:rsid w:val="00130403"/>
    <w:rsid w:val="00137C27"/>
    <w:rsid w:val="00137E1F"/>
    <w:rsid w:val="0014611F"/>
    <w:rsid w:val="00165B1C"/>
    <w:rsid w:val="001731DB"/>
    <w:rsid w:val="001766C6"/>
    <w:rsid w:val="001E2641"/>
    <w:rsid w:val="001F339D"/>
    <w:rsid w:val="0020238D"/>
    <w:rsid w:val="00206834"/>
    <w:rsid w:val="00255978"/>
    <w:rsid w:val="0028203A"/>
    <w:rsid w:val="002A0BE2"/>
    <w:rsid w:val="002B5D6D"/>
    <w:rsid w:val="002C5BFB"/>
    <w:rsid w:val="002E357C"/>
    <w:rsid w:val="002E48B6"/>
    <w:rsid w:val="00310BC0"/>
    <w:rsid w:val="00310EF9"/>
    <w:rsid w:val="00337167"/>
    <w:rsid w:val="003953AC"/>
    <w:rsid w:val="003A0D3E"/>
    <w:rsid w:val="003B0921"/>
    <w:rsid w:val="003B67FE"/>
    <w:rsid w:val="003C59BC"/>
    <w:rsid w:val="003D424E"/>
    <w:rsid w:val="00425EFC"/>
    <w:rsid w:val="004509BF"/>
    <w:rsid w:val="00455A54"/>
    <w:rsid w:val="004607E6"/>
    <w:rsid w:val="00466C34"/>
    <w:rsid w:val="004A1503"/>
    <w:rsid w:val="004B6C56"/>
    <w:rsid w:val="004E1318"/>
    <w:rsid w:val="00531038"/>
    <w:rsid w:val="00537A27"/>
    <w:rsid w:val="00580DF2"/>
    <w:rsid w:val="005A3BC4"/>
    <w:rsid w:val="00613F4C"/>
    <w:rsid w:val="00624CE4"/>
    <w:rsid w:val="00633798"/>
    <w:rsid w:val="00666F0A"/>
    <w:rsid w:val="00667C86"/>
    <w:rsid w:val="00703D0C"/>
    <w:rsid w:val="00706A2B"/>
    <w:rsid w:val="0072224E"/>
    <w:rsid w:val="007241CD"/>
    <w:rsid w:val="007400F5"/>
    <w:rsid w:val="00757372"/>
    <w:rsid w:val="00766200"/>
    <w:rsid w:val="00786FBA"/>
    <w:rsid w:val="00787674"/>
    <w:rsid w:val="007972A3"/>
    <w:rsid w:val="007A1797"/>
    <w:rsid w:val="007E116C"/>
    <w:rsid w:val="007E342F"/>
    <w:rsid w:val="007F02D3"/>
    <w:rsid w:val="008739F2"/>
    <w:rsid w:val="0087531A"/>
    <w:rsid w:val="0089338D"/>
    <w:rsid w:val="008A1B6A"/>
    <w:rsid w:val="008A6CF7"/>
    <w:rsid w:val="008B01CE"/>
    <w:rsid w:val="008B206C"/>
    <w:rsid w:val="008B3E56"/>
    <w:rsid w:val="008D517D"/>
    <w:rsid w:val="008F65AD"/>
    <w:rsid w:val="00911457"/>
    <w:rsid w:val="009128D7"/>
    <w:rsid w:val="00915238"/>
    <w:rsid w:val="00925BC5"/>
    <w:rsid w:val="009277DC"/>
    <w:rsid w:val="00980617"/>
    <w:rsid w:val="00982738"/>
    <w:rsid w:val="0098707B"/>
    <w:rsid w:val="00992A24"/>
    <w:rsid w:val="009A3589"/>
    <w:rsid w:val="009B2130"/>
    <w:rsid w:val="009E084B"/>
    <w:rsid w:val="00A0438A"/>
    <w:rsid w:val="00A16F34"/>
    <w:rsid w:val="00A2120B"/>
    <w:rsid w:val="00A44A00"/>
    <w:rsid w:val="00A71520"/>
    <w:rsid w:val="00AA44E3"/>
    <w:rsid w:val="00AA58CB"/>
    <w:rsid w:val="00AA5F15"/>
    <w:rsid w:val="00AF7848"/>
    <w:rsid w:val="00B23F05"/>
    <w:rsid w:val="00B35D95"/>
    <w:rsid w:val="00B40AA7"/>
    <w:rsid w:val="00B5144C"/>
    <w:rsid w:val="00B6745A"/>
    <w:rsid w:val="00BD03DF"/>
    <w:rsid w:val="00C04E55"/>
    <w:rsid w:val="00C24662"/>
    <w:rsid w:val="00C34240"/>
    <w:rsid w:val="00C46C3E"/>
    <w:rsid w:val="00C47893"/>
    <w:rsid w:val="00CF5648"/>
    <w:rsid w:val="00CF6D91"/>
    <w:rsid w:val="00D55588"/>
    <w:rsid w:val="00DB5440"/>
    <w:rsid w:val="00DB7DF4"/>
    <w:rsid w:val="00DD5246"/>
    <w:rsid w:val="00DF7AAE"/>
    <w:rsid w:val="00E00E4D"/>
    <w:rsid w:val="00E03C4C"/>
    <w:rsid w:val="00E47010"/>
    <w:rsid w:val="00E475BC"/>
    <w:rsid w:val="00E669A0"/>
    <w:rsid w:val="00E66E08"/>
    <w:rsid w:val="00E703A0"/>
    <w:rsid w:val="00E81A39"/>
    <w:rsid w:val="00E821AF"/>
    <w:rsid w:val="00EB21C5"/>
    <w:rsid w:val="00EB5D08"/>
    <w:rsid w:val="00F057CE"/>
    <w:rsid w:val="00F2486D"/>
    <w:rsid w:val="00F8038E"/>
    <w:rsid w:val="00F9554F"/>
    <w:rsid w:val="00FA4C3B"/>
    <w:rsid w:val="00FC1B6E"/>
    <w:rsid w:val="00FD0B09"/>
    <w:rsid w:val="00FD0DE8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53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4A0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44A00"/>
  </w:style>
  <w:style w:type="paragraph" w:styleId="Pieddepage">
    <w:name w:val="footer"/>
    <w:basedOn w:val="Normal"/>
    <w:link w:val="PieddepageCar"/>
    <w:uiPriority w:val="99"/>
    <w:unhideWhenUsed/>
    <w:rsid w:val="00A44A0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A00"/>
  </w:style>
  <w:style w:type="paragraph" w:customStyle="1" w:styleId="Default">
    <w:name w:val="Default"/>
    <w:rsid w:val="00A44A0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F9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rsid w:val="00C342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3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13F4C"/>
    <w:pPr>
      <w:ind w:left="720"/>
      <w:contextualSpacing/>
    </w:pPr>
  </w:style>
  <w:style w:type="paragraph" w:styleId="Sansinterligne">
    <w:name w:val="No Spacing"/>
    <w:uiPriority w:val="1"/>
    <w:qFormat/>
    <w:rsid w:val="003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55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Classification xmlns="9e0d9709-9bc0-4e33-89b3-f5b865b34069">Internal Use Only</Information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DFA2D94F28E499335D7806517C680" ma:contentTypeVersion="12" ma:contentTypeDescription="Create a new document." ma:contentTypeScope="" ma:versionID="5840c38e147b95d5869bcd03de48c749">
  <xsd:schema xmlns:xsd="http://www.w3.org/2001/XMLSchema" xmlns:xs="http://www.w3.org/2001/XMLSchema" xmlns:p="http://schemas.microsoft.com/office/2006/metadata/properties" xmlns:ns2="9e0d9709-9bc0-4e33-89b3-f5b865b34069" xmlns:ns3="990a436a-0f13-4dd0-89e1-94ba78fedddb" targetNamespace="http://schemas.microsoft.com/office/2006/metadata/properties" ma:root="true" ma:fieldsID="a52777fd00cbebb432ed545e41f24f00" ns2:_="" ns3:_="">
    <xsd:import namespace="9e0d9709-9bc0-4e33-89b3-f5b865b34069"/>
    <xsd:import namespace="990a436a-0f13-4dd0-89e1-94ba78fedddb"/>
    <xsd:element name="properties">
      <xsd:complexType>
        <xsd:sequence>
          <xsd:element name="documentManagement">
            <xsd:complexType>
              <xsd:all>
                <xsd:element ref="ns2:InformationClassification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9709-9bc0-4e33-89b3-f5b865b34069" elementFormDefault="qualified">
    <xsd:import namespace="http://schemas.microsoft.com/office/2006/documentManagement/types"/>
    <xsd:import namespace="http://schemas.microsoft.com/office/infopath/2007/PartnerControls"/>
    <xsd:element name="InformationClassification" ma:index="8" ma:displayName="Information Classification" ma:default="Internal Use Only" ma:description="See Global IT Standards,Section 2: http://www.kcc.com/mis/cafe/gits/Global%20ITS.htm" ma:internalName="InformationClassification">
      <xsd:simpleType>
        <xsd:restriction base="dms:Choice">
          <xsd:enumeration value="Confidential Information"/>
          <xsd:enumeration value="Internal Use Only"/>
          <xsd:enumeration value="Public Information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436a-0f13-4dd0-89e1-94ba78feddd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1C6CB-6485-4D1F-8590-23EEBCD7D8BA}">
  <ds:schemaRefs>
    <ds:schemaRef ds:uri="http://schemas.microsoft.com/office/2006/metadata/properties"/>
    <ds:schemaRef ds:uri="http://schemas.microsoft.com/office/infopath/2007/PartnerControls"/>
    <ds:schemaRef ds:uri="9e0d9709-9bc0-4e33-89b3-f5b865b34069"/>
  </ds:schemaRefs>
</ds:datastoreItem>
</file>

<file path=customXml/itemProps2.xml><?xml version="1.0" encoding="utf-8"?>
<ds:datastoreItem xmlns:ds="http://schemas.openxmlformats.org/officeDocument/2006/customXml" ds:itemID="{930ECBBA-B288-431D-B746-4753843DD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1FED2-09F7-47E7-BCAA-D48EA337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d9709-9bc0-4e33-89b3-f5b865b34069"/>
    <ds:schemaRef ds:uri="990a436a-0f13-4dd0-89e1-94ba78fed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2016-10-17T14:55:00Z</dcterms:created>
  <dcterms:modified xsi:type="dcterms:W3CDTF">2016-10-17T14:55:00Z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0x01010001ADFA2D94F28E499335D7806517C680</vt:lpwstr>
  </property>
</Properties>
</file>